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9E" w:rsidRDefault="001A0805">
      <w:pPr>
        <w:jc w:val="center"/>
        <w:rPr>
          <w:rFonts w:ascii="Times New Roman" w:hAnsi="Times New Roman" w:cs="Times New Roman"/>
          <w:b/>
          <w:i/>
          <w:color w:val="FC345F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C345F"/>
          <w:sz w:val="72"/>
          <w:szCs w:val="72"/>
        </w:rPr>
        <w:t>Примеры библиографических описаний ресурсов</w:t>
      </w:r>
    </w:p>
    <w:p w:rsidR="00E2039E" w:rsidRDefault="001A0805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>
        <w:rPr>
          <w:rFonts w:ascii="Times New Roman" w:hAnsi="Times New Roman" w:cs="Times New Roman"/>
          <w:i/>
          <w:color w:val="0070C0"/>
          <w:sz w:val="56"/>
          <w:szCs w:val="56"/>
        </w:rPr>
        <w:t>В соответствии с требованием национального стандарта</w:t>
      </w:r>
    </w:p>
    <w:p w:rsidR="00E2039E" w:rsidRDefault="001A0805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>
        <w:rPr>
          <w:rFonts w:ascii="Times New Roman" w:hAnsi="Times New Roman" w:cs="Times New Roman"/>
          <w:i/>
          <w:color w:val="0070C0"/>
          <w:sz w:val="56"/>
          <w:szCs w:val="56"/>
        </w:rPr>
        <w:t xml:space="preserve">ГОСТ </w:t>
      </w:r>
      <w:proofErr w:type="gramStart"/>
      <w:r>
        <w:rPr>
          <w:rFonts w:ascii="Times New Roman" w:hAnsi="Times New Roman" w:cs="Times New Roman"/>
          <w:i/>
          <w:color w:val="0070C0"/>
          <w:sz w:val="56"/>
          <w:szCs w:val="56"/>
        </w:rPr>
        <w:t>Р</w:t>
      </w:r>
      <w:proofErr w:type="gramEnd"/>
      <w:r>
        <w:rPr>
          <w:rFonts w:ascii="Times New Roman" w:hAnsi="Times New Roman" w:cs="Times New Roman"/>
          <w:i/>
          <w:color w:val="0070C0"/>
          <w:sz w:val="56"/>
          <w:szCs w:val="56"/>
        </w:rPr>
        <w:t xml:space="preserve"> 7.0.100-2018</w:t>
      </w:r>
    </w:p>
    <w:p w:rsidR="00E2039E" w:rsidRDefault="001A0805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>
        <w:rPr>
          <w:rFonts w:ascii="Times New Roman" w:hAnsi="Times New Roman" w:cs="Times New Roman"/>
          <w:i/>
          <w:color w:val="0070C0"/>
          <w:sz w:val="56"/>
          <w:szCs w:val="56"/>
        </w:rPr>
        <w:t>«</w:t>
      </w:r>
      <w:r>
        <w:rPr>
          <w:rFonts w:ascii="Times New Roman" w:hAnsi="Times New Roman" w:cs="Times New Roman"/>
          <w:b/>
          <w:i/>
          <w:color w:val="0070C0"/>
          <w:sz w:val="56"/>
          <w:szCs w:val="56"/>
        </w:rPr>
        <w:t>Библиографическая запись. Библиографическое описание.</w:t>
      </w:r>
    </w:p>
    <w:p w:rsidR="00E2039E" w:rsidRDefault="001A0805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0070C0"/>
          <w:sz w:val="56"/>
          <w:szCs w:val="56"/>
        </w:rPr>
        <w:t>Общие требования и правила составления</w:t>
      </w:r>
      <w:r>
        <w:rPr>
          <w:rFonts w:ascii="Times New Roman" w:hAnsi="Times New Roman" w:cs="Times New Roman"/>
          <w:i/>
          <w:color w:val="0070C0"/>
          <w:sz w:val="56"/>
          <w:szCs w:val="56"/>
        </w:rPr>
        <w:t>»</w:t>
      </w:r>
    </w:p>
    <w:p w:rsidR="00E2039E" w:rsidRDefault="001A0805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>
        <w:rPr>
          <w:rFonts w:ascii="Times New Roman" w:hAnsi="Times New Roman" w:cs="Times New Roman"/>
          <w:i/>
          <w:color w:val="0070C0"/>
          <w:sz w:val="56"/>
          <w:szCs w:val="56"/>
        </w:rPr>
        <w:t>(</w:t>
      </w:r>
      <w:proofErr w:type="gramStart"/>
      <w:r>
        <w:rPr>
          <w:rFonts w:ascii="Times New Roman" w:hAnsi="Times New Roman" w:cs="Times New Roman"/>
          <w:i/>
          <w:color w:val="0070C0"/>
          <w:sz w:val="56"/>
          <w:szCs w:val="56"/>
        </w:rPr>
        <w:t>введен</w:t>
      </w:r>
      <w:proofErr w:type="gramEnd"/>
      <w:r>
        <w:rPr>
          <w:rFonts w:ascii="Times New Roman" w:hAnsi="Times New Roman" w:cs="Times New Roman"/>
          <w:i/>
          <w:color w:val="0070C0"/>
          <w:sz w:val="56"/>
          <w:szCs w:val="56"/>
        </w:rPr>
        <w:t xml:space="preserve"> в действие с 1 июля 2019 года)</w:t>
      </w:r>
    </w:p>
    <w:p w:rsidR="00E2039E" w:rsidRDefault="00E2039E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</w:p>
    <w:p w:rsidR="00E2039E" w:rsidRDefault="00E2039E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</w:p>
    <w:p w:rsidR="00E2039E" w:rsidRDefault="00E2039E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</w:p>
    <w:p w:rsidR="00E2039E" w:rsidRDefault="001A0805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  <w:r>
        <w:rPr>
          <w:rFonts w:ascii="Times New Roman" w:hAnsi="Times New Roman" w:cs="Times New Roman"/>
          <w:i/>
          <w:color w:val="FC345F"/>
          <w:sz w:val="56"/>
          <w:szCs w:val="56"/>
        </w:rPr>
        <w:lastRenderedPageBreak/>
        <w:t>Книга одного автора</w:t>
      </w:r>
    </w:p>
    <w:p w:rsidR="00E2039E" w:rsidRDefault="001A0805">
      <w:pPr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Левченко, О. К. Боль в гематологии</w:t>
      </w:r>
      <w:proofErr w:type="gram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научное издание / О. К. Левченко. - Москва</w:t>
      </w:r>
      <w:proofErr w:type="gram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ООО "Светлица", 2020. - 308 с. - ISBN 978-5-902438-87-8.</w:t>
      </w:r>
    </w:p>
    <w:p w:rsidR="00E2039E" w:rsidRDefault="001A0805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  <w:r>
        <w:rPr>
          <w:rFonts w:ascii="Times New Roman" w:hAnsi="Times New Roman" w:cs="Times New Roman"/>
          <w:i/>
          <w:color w:val="FC345F"/>
          <w:sz w:val="56"/>
          <w:szCs w:val="56"/>
        </w:rPr>
        <w:t>Книга двух авторов</w:t>
      </w:r>
    </w:p>
    <w:p w:rsidR="00E2039E" w:rsidRDefault="001A0805">
      <w:pPr>
        <w:rPr>
          <w:rFonts w:ascii="Times New Roman" w:hAnsi="Times New Roman" w:cs="Times New Roman"/>
          <w:bCs/>
          <w:i/>
          <w:color w:val="FC345F"/>
          <w:sz w:val="56"/>
          <w:szCs w:val="56"/>
        </w:rPr>
      </w:pPr>
      <w:proofErr w:type="spell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Трухан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, Д. И. Дифференциальный диагноз основных симптомов и синдромов при заболеваниях почек и мочевых путей</w:t>
      </w:r>
      <w:proofErr w:type="gram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учебное пособие </w:t>
      </w:r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br/>
        <w:t xml:space="preserve">/ Д. И.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Трухан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, С. Н. Филимонов. - Москва</w:t>
      </w:r>
      <w:proofErr w:type="gram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Практическая медицина, 2019. – </w:t>
      </w:r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br/>
        <w:t>269 с. - ISBN 978-5-98811-558-8.</w:t>
      </w:r>
    </w:p>
    <w:p w:rsidR="00E2039E" w:rsidRDefault="001A0805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  <w:r>
        <w:rPr>
          <w:rFonts w:ascii="Times New Roman" w:hAnsi="Times New Roman" w:cs="Times New Roman"/>
          <w:i/>
          <w:color w:val="FC345F"/>
          <w:sz w:val="56"/>
          <w:szCs w:val="56"/>
        </w:rPr>
        <w:t>Книга трех авторов</w:t>
      </w:r>
    </w:p>
    <w:p w:rsidR="00E2039E" w:rsidRDefault="001A0805">
      <w:pPr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  <w:proofErr w:type="spell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Подолужный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, В. И.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Перфоративная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язва двенадцатиперстной кишки</w:t>
      </w:r>
      <w:proofErr w:type="gram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монография / В. И.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Подолужный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, И. А.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Радионов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, А. Б. Старцев. - Кемерово</w:t>
      </w:r>
      <w:proofErr w:type="gram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Фирма ПОЛИГРАФ, 2020. - 76 с. – ISBN 978-5-8151-0059-5.</w:t>
      </w:r>
    </w:p>
    <w:p w:rsidR="00E2039E" w:rsidRDefault="00E2039E">
      <w:pPr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E2039E" w:rsidRDefault="00E2039E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</w:p>
    <w:p w:rsidR="00E2039E" w:rsidRDefault="001A0805">
      <w:pPr>
        <w:jc w:val="center"/>
        <w:rPr>
          <w:rFonts w:ascii="Times New Roman" w:hAnsi="Times New Roman" w:cs="Times New Roman"/>
          <w:i/>
          <w:color w:val="FC345F"/>
          <w:sz w:val="56"/>
          <w:szCs w:val="56"/>
        </w:rPr>
      </w:pPr>
      <w:r>
        <w:rPr>
          <w:rFonts w:ascii="Times New Roman" w:hAnsi="Times New Roman" w:cs="Times New Roman"/>
          <w:i/>
          <w:color w:val="FC345F"/>
          <w:sz w:val="56"/>
          <w:szCs w:val="56"/>
        </w:rPr>
        <w:lastRenderedPageBreak/>
        <w:t>Книга четырех авторов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>Генетические предикторы тяжелого течения ишемической болезни сердца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методические рекомендации / И. И. Жидкова, А. А.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Иноземцева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А. В.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Понасенко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О. Л.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Барбараш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; Научно-исследовательский институт комплексных проблем сердечно-сосудистых заболеваний. - Кемерово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[б. и.], 2016. – 47 с. </w:t>
      </w:r>
    </w:p>
    <w:p w:rsidR="00E2039E" w:rsidRDefault="00E2039E">
      <w:pPr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</w:p>
    <w:p w:rsidR="00E2039E" w:rsidRDefault="001A0805">
      <w:pPr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i/>
          <w:color w:val="FF0000"/>
          <w:sz w:val="52"/>
          <w:szCs w:val="52"/>
        </w:rPr>
        <w:t>Книга пяти и более авторов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>Заболевания печени у беременных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монография / В. Г.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Мозес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И. С. Захаров, К. Б.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Мозес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[и др.]. - Кемерово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[б. и.], 2020. - 140 с.</w:t>
      </w:r>
    </w:p>
    <w:p w:rsidR="00E2039E" w:rsidRDefault="00E2039E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E2039E" w:rsidRDefault="00E2039E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E2039E" w:rsidRDefault="00E2039E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E2039E" w:rsidRDefault="001A0805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lastRenderedPageBreak/>
        <w:t>Описание отдельного тома</w:t>
      </w:r>
    </w:p>
    <w:p w:rsidR="00E2039E" w:rsidRDefault="001A0805">
      <w:pPr>
        <w:rPr>
          <w:rFonts w:ascii="Times New Roman" w:hAnsi="Times New Roman" w:cs="Times New Roman"/>
          <w:color w:val="2E74B5" w:themeColor="accent1" w:themeShade="BF"/>
          <w:sz w:val="48"/>
          <w:szCs w:val="48"/>
        </w:rPr>
      </w:pPr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>Руководство по кардиологии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в 4 т. / ред. Е. И. Чазов. - Москва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Практика, 2014. -</w:t>
      </w:r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ab/>
      </w:r>
    </w:p>
    <w:p w:rsidR="00E2039E" w:rsidRDefault="001A0805">
      <w:pPr>
        <w:rPr>
          <w:rFonts w:ascii="Times New Roman" w:hAnsi="Times New Roman" w:cs="Times New Roman"/>
          <w:color w:val="2E74B5" w:themeColor="accent1" w:themeShade="BF"/>
          <w:sz w:val="48"/>
          <w:szCs w:val="48"/>
        </w:rPr>
      </w:pPr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>Т. 4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Заболевания 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>сердечно-сосудистой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48"/>
          <w:szCs w:val="48"/>
        </w:rPr>
        <w:t xml:space="preserve"> системы (II). -  2014. - 976 с. - ISBN 978-5-89816-131-6.</w:t>
      </w:r>
    </w:p>
    <w:p w:rsidR="00E2039E" w:rsidRDefault="001A0805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t>Статья из сборника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Сюткина, З. А. ВИЧ инфекция у детей / З. А. Сюткина, С. Ю.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Бурнакова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; рук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аботы А. Л.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Айнетдинова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// Проблемы медицины и биологии : материалы международной научно-практической конференции молодых ученых и студентов (Кемерово, 9-10 апреля 2020 г.) / ред.: А. С. Сухих, Д. Ю. Кувшинов. - Кемерово, 2020. - Ч. 2. - С. 256-258.</w:t>
      </w:r>
    </w:p>
    <w:p w:rsidR="00E2039E" w:rsidRDefault="00E2039E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E2039E" w:rsidRDefault="001A0805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lastRenderedPageBreak/>
        <w:t>Статья из журнала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Маркова, В. Е. Анализ внутреннего пути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апоптоза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в эндотелиальных клетках под воздействием 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кальций-фосфатных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бионов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/ В. Е. Маркова, Д. К. Шишкова, А. Г.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Кутихин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// Фундаментальная и клиническая медицина. – 2020. – Т. 5, № 3. – С. 50-58.</w:t>
      </w:r>
    </w:p>
    <w:p w:rsidR="00E2039E" w:rsidRDefault="00E2039E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E2039E" w:rsidRDefault="001A0805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t>Статья из газеты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Краснопольская, И. Гиппократ 2022. От первого лица академик РАН Петр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Глыбочко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>: Необходимо создавать условия для нормальной работы врача / И. Краснопольская // Российская газета. – 2022. – 21 янв. (№13). – С. 7.</w:t>
      </w:r>
    </w:p>
    <w:p w:rsidR="00E2039E" w:rsidRDefault="00E2039E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E2039E" w:rsidRDefault="00E2039E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E2039E" w:rsidRDefault="001A0805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lastRenderedPageBreak/>
        <w:t>Диссертация, автореферат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Сыркашев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В. А. Реконструкция послеоперационных дефектов имплантатами из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никелида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титана у больных с опухолевым поражением основания и свода черепа :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дис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>. ... канд. мед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н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аук : 14.01.12 / В. А.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Сыркашев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; Томский НИИ онкологии. - Томск, 2016. - 146 с.</w:t>
      </w:r>
    </w:p>
    <w:p w:rsidR="00E2039E" w:rsidRDefault="00E2039E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Ильясова, С. Т. Клинико-микробиологическое обоснование профилактики и лечения воспалительных осложнений дентальной имплантации : специальность 14.01.14 "Стоматология" :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автореф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дис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. на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соиск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>. учен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>с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теп. канд. мед. наук : защищена 18.11.2020 / Ильясова Султанат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Темировна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; Московский государственный медико-стоматологический университет им. А. И. Евдокимова. - Москва, 2020. - 24 с.</w:t>
      </w:r>
    </w:p>
    <w:p w:rsidR="00E2039E" w:rsidRDefault="001A0805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lastRenderedPageBreak/>
        <w:t>Электронные издания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Косцова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Н. Г. Основы ухода за пациентом в хирургической клинике =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Basics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of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Nursing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Care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in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Surgery</w:t>
      </w:r>
      <w:proofErr w:type="spellEnd"/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учебное пособие на русском и английском языках / Н. Г.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Косцова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А. И.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Бадретдинова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Ж. Г.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Тигай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[и др.]. - М.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ГЭОТАР-Медиа, 2020. - 312 с. – Текст : электронный. - URL: https://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www.studentlibrary.ru</w:t>
      </w:r>
      <w:r>
        <w:rPr>
          <w:rFonts w:ascii="Times New Roman" w:hAnsi="Times New Roman" w:cs="Times New Roman"/>
          <w:color w:val="0070C0"/>
          <w:sz w:val="48"/>
          <w:szCs w:val="48"/>
        </w:rPr>
        <w:t>/book/ISBN9785970453834.html (дата обращения 23.12.2020).</w:t>
      </w:r>
    </w:p>
    <w:p w:rsidR="00E2039E" w:rsidRDefault="00E2039E">
      <w:pPr>
        <w:rPr>
          <w:rFonts w:ascii="Times New Roman" w:hAnsi="Times New Roman" w:cs="Times New Roman"/>
          <w:color w:val="0070C0"/>
          <w:sz w:val="48"/>
          <w:szCs w:val="48"/>
        </w:rPr>
      </w:pPr>
      <w:bookmarkStart w:id="0" w:name="_GoBack"/>
      <w:bookmarkEnd w:id="0"/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Коденцова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В. М. Обеспеченность детей витамином D. Сравнительный анализ способов коррекции / В. М.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Коденцова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Д. В.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Рисник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//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Лечащий врач : электрон</w:t>
      </w:r>
      <w:proofErr w:type="gramStart"/>
      <w:r>
        <w:rPr>
          <w:rFonts w:ascii="Times New Roman" w:hAnsi="Times New Roman" w:cs="Times New Roman"/>
          <w:b/>
          <w:color w:val="0070C0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48"/>
          <w:szCs w:val="48"/>
        </w:rPr>
        <w:t>ж</w:t>
      </w:r>
      <w:proofErr w:type="gramEnd"/>
      <w:r>
        <w:rPr>
          <w:rFonts w:ascii="Times New Roman" w:hAnsi="Times New Roman" w:cs="Times New Roman"/>
          <w:b/>
          <w:color w:val="0070C0"/>
          <w:sz w:val="48"/>
          <w:szCs w:val="48"/>
        </w:rPr>
        <w:t>урн</w:t>
      </w:r>
      <w:r>
        <w:rPr>
          <w:rFonts w:ascii="Times New Roman" w:hAnsi="Times New Roman" w:cs="Times New Roman"/>
          <w:color w:val="0070C0"/>
          <w:sz w:val="48"/>
          <w:szCs w:val="48"/>
        </w:rPr>
        <w:t>. – 2020. - № 2. - URL: https://www.lvrach.ru/2020/02/15437496 (дата обращения 23.12.2020).</w:t>
      </w:r>
    </w:p>
    <w:p w:rsidR="00E2039E" w:rsidRDefault="00E2039E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E2039E" w:rsidRDefault="00E2039E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lastRenderedPageBreak/>
        <w:t xml:space="preserve">Волков, В. Г. Анализ региональных особенностей заболеваемости раком шейки матки / В. Г. Волков, Е. В. Сурвилло //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Акушерство и гинекология.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 – 2015. – №1. – С. 69-73. – ISSN: 0300-9092. – Текст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электронный //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ЭБС «</w:t>
      </w:r>
      <w:proofErr w:type="spellStart"/>
      <w:r>
        <w:rPr>
          <w:rFonts w:ascii="Times New Roman" w:hAnsi="Times New Roman" w:cs="Times New Roman"/>
          <w:b/>
          <w:color w:val="0070C0"/>
          <w:sz w:val="48"/>
          <w:szCs w:val="48"/>
        </w:rPr>
        <w:t>eLIBRARY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>» : [сайт]. – URL: https://ezproxy.ssmu.ru:2779/item.asp?id=42392281 (дата обращения 15.04.2020).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Пляскина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Е. С.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Брекет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-система и деминерализация эмали / Е. С.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Пляскина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, Е. С. Попова, А. М. Петрова //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Актуальные вопросы стоматологии: Сборник научных трудов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 Краевой научно-практической конференции стоматологов и челюстно-лицевых хирургов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;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под ред. И. С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Пинелиса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>. – Чита, 2018. – С. 83-91. – Текст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электронный // ЭБС «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eLIBRARY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>» : [сайт]. – URL: http://ezproxy.ssmu.ru:2048/login?url=https://elibrary.ru/item.asp?id=32786447  (Дата обращения 15.04.2020).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lastRenderedPageBreak/>
        <w:t xml:space="preserve">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коронавирусной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инфекции на территории Российской Федерации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Приказ Минздрава России N 378,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Минобрнауки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России N 619 от 27.04.2020. – Текст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color w:val="0070C0"/>
          <w:sz w:val="48"/>
          <w:szCs w:val="48"/>
        </w:rPr>
        <w:t>КонсультантПлюс</w:t>
      </w:r>
      <w:proofErr w:type="spell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– надежная правовая защита : официальный сайт компании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b/>
          <w:color w:val="0070C0"/>
          <w:sz w:val="48"/>
          <w:szCs w:val="48"/>
        </w:rPr>
        <w:t>КонсультантПлюс</w:t>
      </w:r>
      <w:proofErr w:type="spellEnd"/>
      <w:r>
        <w:rPr>
          <w:rFonts w:ascii="Times New Roman" w:hAnsi="Times New Roman" w:cs="Times New Roman"/>
          <w:b/>
          <w:color w:val="0070C0"/>
          <w:sz w:val="48"/>
          <w:szCs w:val="48"/>
        </w:rPr>
        <w:t>»</w:t>
      </w:r>
      <w:r>
        <w:rPr>
          <w:rFonts w:ascii="Times New Roman" w:hAnsi="Times New Roman" w:cs="Times New Roman"/>
          <w:color w:val="0070C0"/>
          <w:sz w:val="48"/>
          <w:szCs w:val="48"/>
        </w:rPr>
        <w:t>. – http://www.consultant.ru/document/cons_doc_LAW_351522/ (дата обращения 30.11.2020).</w:t>
      </w:r>
    </w:p>
    <w:p w:rsidR="00E2039E" w:rsidRDefault="001A0805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FF0000"/>
          <w:sz w:val="56"/>
          <w:szCs w:val="56"/>
        </w:rPr>
        <w:t>Сайты в сети интернет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>Министерство здравоохранения Российской Федерации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сайт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. – </w:t>
      </w:r>
      <w:r>
        <w:rPr>
          <w:rFonts w:ascii="Times New Roman" w:hAnsi="Times New Roman" w:cs="Times New Roman"/>
          <w:color w:val="0070C0"/>
          <w:sz w:val="48"/>
          <w:szCs w:val="48"/>
          <w:lang w:val="en-US"/>
        </w:rPr>
        <w:t>URL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: </w:t>
      </w:r>
      <w:hyperlink r:id="rId9" w:tooltip="https://minzdrav.gov.ru" w:history="1">
        <w:r>
          <w:rPr>
            <w:rStyle w:val="af9"/>
            <w:rFonts w:ascii="Times New Roman" w:hAnsi="Times New Roman" w:cs="Times New Roman"/>
            <w:sz w:val="48"/>
            <w:szCs w:val="48"/>
          </w:rPr>
          <w:t>h</w:t>
        </w:r>
        <w:r>
          <w:rPr>
            <w:rStyle w:val="af9"/>
            <w:rFonts w:ascii="Times New Roman" w:hAnsi="Times New Roman" w:cs="Times New Roman"/>
            <w:b/>
            <w:sz w:val="48"/>
            <w:szCs w:val="48"/>
          </w:rPr>
          <w:t>ttps://minzdrav.gov.ru</w:t>
        </w:r>
      </w:hyperlink>
      <w:r>
        <w:rPr>
          <w:rFonts w:ascii="Times New Roman" w:hAnsi="Times New Roman" w:cs="Times New Roman"/>
          <w:color w:val="0070C0"/>
          <w:sz w:val="48"/>
          <w:szCs w:val="48"/>
        </w:rPr>
        <w:t xml:space="preserve"> (дата обращения 23.12.2020).</w:t>
      </w:r>
    </w:p>
    <w:p w:rsidR="00E2039E" w:rsidRDefault="001A0805">
      <w:pPr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>Всемирная организация здравоохранения</w:t>
      </w:r>
      <w:proofErr w:type="gramStart"/>
      <w:r>
        <w:rPr>
          <w:rFonts w:ascii="Times New Roman" w:hAnsi="Times New Roman" w:cs="Times New Roman"/>
          <w:color w:val="0070C0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сайт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. – </w:t>
      </w:r>
      <w:r>
        <w:rPr>
          <w:rFonts w:ascii="Times New Roman" w:hAnsi="Times New Roman" w:cs="Times New Roman"/>
          <w:color w:val="0070C0"/>
          <w:sz w:val="48"/>
          <w:szCs w:val="48"/>
          <w:lang w:val="en-US"/>
        </w:rPr>
        <w:t>URL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: </w:t>
      </w:r>
      <w:hyperlink r:id="rId10" w:tooltip="https://www.who.int/ru" w:history="1">
        <w:r>
          <w:rPr>
            <w:rStyle w:val="af9"/>
            <w:rFonts w:ascii="Times New Roman" w:hAnsi="Times New Roman" w:cs="Times New Roman"/>
            <w:b/>
            <w:sz w:val="48"/>
            <w:szCs w:val="48"/>
          </w:rPr>
          <w:t>https://www.who.int/ru</w:t>
        </w:r>
      </w:hyperlink>
      <w:r>
        <w:rPr>
          <w:rFonts w:ascii="Times New Roman" w:hAnsi="Times New Roman" w:cs="Times New Roman"/>
          <w:color w:val="0070C0"/>
          <w:sz w:val="48"/>
          <w:szCs w:val="48"/>
        </w:rPr>
        <w:t xml:space="preserve"> (дата обращения 23.12.2020).</w:t>
      </w:r>
    </w:p>
    <w:sectPr w:rsidR="00E2039E">
      <w:pgSz w:w="16838" w:h="11906" w:orient="landscape"/>
      <w:pgMar w:top="1701" w:right="1134" w:bottom="850" w:left="1134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07" w:rsidRDefault="00EE2507">
      <w:pPr>
        <w:spacing w:after="0" w:line="240" w:lineRule="auto"/>
      </w:pPr>
      <w:r>
        <w:separator/>
      </w:r>
    </w:p>
  </w:endnote>
  <w:endnote w:type="continuationSeparator" w:id="0">
    <w:p w:rsidR="00EE2507" w:rsidRDefault="00EE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07" w:rsidRDefault="00EE2507">
      <w:pPr>
        <w:spacing w:after="0" w:line="240" w:lineRule="auto"/>
      </w:pPr>
      <w:r>
        <w:separator/>
      </w:r>
    </w:p>
  </w:footnote>
  <w:footnote w:type="continuationSeparator" w:id="0">
    <w:p w:rsidR="00EE2507" w:rsidRDefault="00EE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01E"/>
    <w:multiLevelType w:val="hybridMultilevel"/>
    <w:tmpl w:val="49B62710"/>
    <w:lvl w:ilvl="0" w:tplc="0FFCA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A40FD2">
      <w:start w:val="1"/>
      <w:numFmt w:val="lowerLetter"/>
      <w:lvlText w:val="%2."/>
      <w:lvlJc w:val="left"/>
      <w:pPr>
        <w:ind w:left="1440" w:hanging="360"/>
      </w:pPr>
    </w:lvl>
    <w:lvl w:ilvl="2" w:tplc="63D45030">
      <w:start w:val="1"/>
      <w:numFmt w:val="lowerRoman"/>
      <w:lvlText w:val="%3."/>
      <w:lvlJc w:val="right"/>
      <w:pPr>
        <w:ind w:left="2160" w:hanging="180"/>
      </w:pPr>
    </w:lvl>
    <w:lvl w:ilvl="3" w:tplc="CE6A40FE">
      <w:start w:val="1"/>
      <w:numFmt w:val="decimal"/>
      <w:lvlText w:val="%4."/>
      <w:lvlJc w:val="left"/>
      <w:pPr>
        <w:ind w:left="2880" w:hanging="360"/>
      </w:pPr>
    </w:lvl>
    <w:lvl w:ilvl="4" w:tplc="CE9CCC12">
      <w:start w:val="1"/>
      <w:numFmt w:val="lowerLetter"/>
      <w:lvlText w:val="%5."/>
      <w:lvlJc w:val="left"/>
      <w:pPr>
        <w:ind w:left="3600" w:hanging="360"/>
      </w:pPr>
    </w:lvl>
    <w:lvl w:ilvl="5" w:tplc="4AF0595C">
      <w:start w:val="1"/>
      <w:numFmt w:val="lowerRoman"/>
      <w:lvlText w:val="%6."/>
      <w:lvlJc w:val="right"/>
      <w:pPr>
        <w:ind w:left="4320" w:hanging="180"/>
      </w:pPr>
    </w:lvl>
    <w:lvl w:ilvl="6" w:tplc="AFDE48EE">
      <w:start w:val="1"/>
      <w:numFmt w:val="decimal"/>
      <w:lvlText w:val="%7."/>
      <w:lvlJc w:val="left"/>
      <w:pPr>
        <w:ind w:left="5040" w:hanging="360"/>
      </w:pPr>
    </w:lvl>
    <w:lvl w:ilvl="7" w:tplc="2AA68318">
      <w:start w:val="1"/>
      <w:numFmt w:val="lowerLetter"/>
      <w:lvlText w:val="%8."/>
      <w:lvlJc w:val="left"/>
      <w:pPr>
        <w:ind w:left="5760" w:hanging="360"/>
      </w:pPr>
    </w:lvl>
    <w:lvl w:ilvl="8" w:tplc="D0108C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9E"/>
    <w:rsid w:val="001A0805"/>
    <w:rsid w:val="005A6D45"/>
    <w:rsid w:val="00B23D52"/>
    <w:rsid w:val="00BE7DAA"/>
    <w:rsid w:val="00E2039E"/>
    <w:rsid w:val="00E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ho.int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zdra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4054-1953-41D2-8975-9309D0A4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Анатольевна Медведева</dc:creator>
  <cp:lastModifiedBy>Раиса Дмитриевна Обеснюк</cp:lastModifiedBy>
  <cp:revision>4</cp:revision>
  <dcterms:created xsi:type="dcterms:W3CDTF">2025-04-30T06:45:00Z</dcterms:created>
  <dcterms:modified xsi:type="dcterms:W3CDTF">2025-04-30T06:49:00Z</dcterms:modified>
</cp:coreProperties>
</file>